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</w:t>
      </w:r>
      <w:r>
        <w:t xml:space="preserve">3</w:t>
      </w:r>
      <w:r>
        <w:t xml:space="preserve"> </w:t>
      </w:r>
      <w:r/>
    </w:p>
    <w:p>
      <w:pPr>
        <w:jc w:val="right"/>
      </w:pPr>
      <w:r>
        <w:t xml:space="preserve">к приказу  Департамента недропользования</w:t>
      </w:r>
      <w:r/>
    </w:p>
    <w:p>
      <w:pPr>
        <w:jc w:val="right"/>
      </w:pPr>
      <w:r>
        <w:t xml:space="preserve">и природных ресурсов Ханты-Мансийского </w:t>
      </w:r>
      <w:r/>
    </w:p>
    <w:p>
      <w:pPr>
        <w:jc w:val="right"/>
      </w:pPr>
      <w:r>
        <w:t xml:space="preserve">автономного округа – Югры</w:t>
      </w:r>
      <w:r/>
    </w:p>
    <w:p>
      <w:pPr>
        <w:jc w:val="right"/>
      </w:pPr>
      <w:r>
        <w:t xml:space="preserve"> от ___________________20__ №____-</w:t>
      </w:r>
      <w:r>
        <w:t xml:space="preserve">п</w:t>
      </w:r>
      <w:r/>
    </w:p>
    <w:p>
      <w:pPr>
        <w:jc w:val="center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b w:val="0"/>
          <w:bCs w:val="0"/>
          <w:sz w:val="28"/>
          <w:szCs w:val="28"/>
          <w:highlight w:val="none"/>
        </w:rPr>
      </w:pPr>
      <w:r>
        <w:rPr>
          <w:rFonts w:eastAsia="Calibri"/>
          <w:bCs/>
          <w:sz w:val="28"/>
          <w:szCs w:val="28"/>
          <w:lang w:eastAsia="en-US"/>
        </w:rPr>
        <w:t xml:space="preserve">П</w:t>
      </w:r>
      <w:r>
        <w:rPr>
          <w:rFonts w:eastAsia="Calibri"/>
          <w:bCs/>
          <w:sz w:val="28"/>
          <w:szCs w:val="28"/>
          <w:lang w:eastAsia="en-US"/>
        </w:rPr>
        <w:t xml:space="preserve">оложение </w:t>
      </w:r>
      <w:r>
        <w:rPr>
          <w:rFonts w:eastAsia="Calibri"/>
          <w:bCs/>
          <w:sz w:val="28"/>
          <w:szCs w:val="28"/>
          <w:lang w:eastAsia="en-US"/>
        </w:rPr>
        <w:t xml:space="preserve">о </w:t>
      </w:r>
      <w:r>
        <w:rPr>
          <w:rFonts w:eastAsia="Calibri"/>
          <w:bCs/>
          <w:sz w:val="28"/>
          <w:szCs w:val="28"/>
          <w:lang w:eastAsia="en-US"/>
        </w:rPr>
        <w:t xml:space="preserve">Комиссии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вопросам </w:t>
      </w:r>
      <w:r>
        <w:rPr>
          <w:b w:val="0"/>
          <w:bCs w:val="0"/>
          <w:sz w:val="28"/>
          <w:szCs w:val="28"/>
          <w:highlight w:val="none"/>
        </w:rPr>
        <w:t xml:space="preserve">рассмотрения и</w:t>
      </w:r>
      <w:r>
        <w:rPr>
          <w:b w:val="0"/>
          <w:bCs w:val="0"/>
          <w:sz w:val="28"/>
          <w:szCs w:val="28"/>
          <w:highlight w:val="none"/>
        </w:rPr>
        <w:t xml:space="preserve"> оценки </w:t>
      </w:r>
      <w:r>
        <w:rPr>
          <w:b w:val="0"/>
          <w:bCs w:val="0"/>
          <w:sz w:val="28"/>
          <w:szCs w:val="28"/>
          <w:highlight w:val="none"/>
        </w:rPr>
        <w:t xml:space="preserve">заявок получателей грантов в форме субсидий на реализацию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проектов, способствующих развитию традиционной хозяйственной деятельности 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коренных малочисленных народов Севера Ханты-Мансийского автономного округа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 – Югры</w:t>
      </w:r>
      <w:r>
        <w:rPr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highlight w:val="none"/>
          <w:lang w:eastAsia="en-US"/>
        </w:rPr>
        <w:t xml:space="preserve"> </w:t>
        <w:br/>
      </w:r>
      <w:r>
        <w:rPr>
          <w:b w:val="0"/>
          <w:bCs w:val="0"/>
          <w:sz w:val="28"/>
          <w:szCs w:val="28"/>
          <w:highlight w:val="none"/>
        </w:rPr>
        <w:t xml:space="preserve">(далее – Положение</w:t>
      </w:r>
      <w:r>
        <w:rPr>
          <w:rFonts w:eastAsia="Calibri"/>
          <w:b w:val="0"/>
          <w:bCs w:val="0"/>
          <w:sz w:val="28"/>
          <w:szCs w:val="28"/>
          <w:highlight w:val="none"/>
          <w:lang w:eastAsia="en-US"/>
        </w:rPr>
        <w:t xml:space="preserve"> о </w:t>
      </w:r>
      <w:r>
        <w:rPr>
          <w:rFonts w:eastAsia="Calibri"/>
          <w:b w:val="0"/>
          <w:bCs w:val="0"/>
          <w:sz w:val="28"/>
          <w:szCs w:val="28"/>
          <w:highlight w:val="none"/>
          <w:lang w:eastAsia="en-US"/>
        </w:rPr>
        <w:t xml:space="preserve">Комиссии</w:t>
      </w:r>
      <w:r>
        <w:rPr>
          <w:b w:val="0"/>
          <w:bCs w:val="0"/>
          <w:sz w:val="28"/>
          <w:szCs w:val="28"/>
          <w:highlight w:val="none"/>
        </w:rPr>
        <w:t xml:space="preserve">)</w:t>
      </w:r>
      <w:r>
        <w:rPr>
          <w:b w:val="0"/>
          <w:bCs w:val="0"/>
          <w:highlight w:val="none"/>
        </w:rPr>
      </w:r>
    </w:p>
    <w:p>
      <w:pPr>
        <w:ind w:firstLine="426"/>
        <w:jc w:val="center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/>
    </w:p>
    <w:p>
      <w:pPr>
        <w:pStyle w:val="839"/>
        <w:ind w:firstLine="0"/>
        <w:jc w:val="center"/>
        <w:spacing w:after="24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Общие положения</w:t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оложение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highlight w:val="none"/>
          <w:lang w:eastAsia="en-US"/>
        </w:rPr>
        <w:t xml:space="preserve">о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highlight w:val="none"/>
          <w:lang w:eastAsia="en-US"/>
        </w:rPr>
        <w:t xml:space="preserve">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определяет порядок работы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highlight w:val="none"/>
          <w:lang w:eastAsia="en-US"/>
        </w:rPr>
        <w:t xml:space="preserve">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вопросам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рассмотрения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оценки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заявок получателей грантов в форме субсидий на реализацию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проектов, способствующих развитию традиционной хозяйственной деятельности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коренных малочисленных народов Севера Ханты-Мансийского автономного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 – Югры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(далее –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Комиссия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Заявка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).</w:t>
      </w:r>
      <w:r>
        <w:rPr>
          <w:rFonts w:ascii="Times New Roman" w:hAnsi="Times New Roman" w:cs="Times New Roman"/>
          <w:b w:val="0"/>
          <w:bCs w:val="0"/>
          <w:highlight w:val="none"/>
        </w:rPr>
      </w:r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Комиссию</w:t>
      </w:r>
      <w:r>
        <w:rPr>
          <w:rFonts w:ascii="Times New Roman" w:hAnsi="Times New Roman" w:cs="Times New Roman"/>
          <w:sz w:val="28"/>
          <w:szCs w:val="28"/>
        </w:rPr>
        <w:t xml:space="preserve"> образует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1.1.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государственной программы «Устойчивое развитие коренных малочисленных народов Севера», утвержденной постановлением Правительства автономного округа от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31.10.2021 № 478-п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(далее – государственная программа).</w:t>
      </w:r>
      <w:r>
        <w:rPr>
          <w:highlight w:val="none"/>
        </w:rPr>
      </w:r>
    </w:p>
    <w:p>
      <w:pPr>
        <w:pStyle w:val="839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совещательный орган, образованный Департаментом на общественных началах в целях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рассмотрения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оценки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а также для участия в принятии решения о перераспределении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гранта, предоставляемых в форме субсидии из бюджета автономного округа для реализации Проектов (далее – Грант)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highlight w:val="none"/>
        </w:rPr>
      </w:r>
    </w:p>
    <w:p>
      <w:pPr>
        <w:pStyle w:val="839"/>
        <w:ind w:firstLine="567"/>
        <w:jc w:val="both"/>
        <w:spacing w:after="24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Комиссия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законодательством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автономного округа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также настоящим Положением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</w:t>
      </w:r>
      <w:r/>
    </w:p>
    <w:p>
      <w:pPr>
        <w:pStyle w:val="839"/>
        <w:ind w:firstLine="567"/>
        <w:jc w:val="center"/>
        <w:spacing w:after="24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Задача и функции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/>
    </w:p>
    <w:p>
      <w:pPr>
        <w:pStyle w:val="839"/>
        <w:ind w:firstLine="567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оценка и отбор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(результативных)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trike w:val="0"/>
          <w:color w:val="auto"/>
          <w:sz w:val="28"/>
          <w:szCs w:val="28"/>
          <w:highlight w:val="none"/>
        </w:rPr>
        <w:t xml:space="preserve">аявок</w:t>
      </w:r>
      <w:r>
        <w:rPr>
          <w:rFonts w:ascii="Times New Roman" w:hAnsi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участие в принятии решения о перераспределении Грантов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решения возложенн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Комиссия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поступивши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для участия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отборе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ценку</w:t>
      </w:r>
      <w:r>
        <w:rPr>
          <w:rFonts w:ascii="Times New Roman" w:hAnsi="Times New Roman" w:cs="Times New Roman"/>
          <w:sz w:val="28"/>
          <w:szCs w:val="28"/>
        </w:rPr>
        <w:t xml:space="preserve"> и отб</w:t>
      </w:r>
      <w:r>
        <w:rPr>
          <w:rFonts w:ascii="Times New Roman" w:hAnsi="Times New Roman" w:cs="Times New Roman"/>
          <w:sz w:val="28"/>
          <w:szCs w:val="28"/>
        </w:rPr>
        <w:t xml:space="preserve">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эффективны</w:t>
      </w:r>
      <w:r>
        <w:rPr>
          <w:rFonts w:ascii="Times New Roman" w:hAnsi="Times New Roman" w:cs="Times New Roman"/>
          <w:sz w:val="28"/>
          <w:szCs w:val="28"/>
        </w:rPr>
        <w:t xml:space="preserve">х (результативных)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открытой (публичной) защиты с учетом </w:t>
      </w:r>
      <w:r>
        <w:rPr>
          <w:rFonts w:ascii="Times New Roman" w:hAnsi="Times New Roman" w:cs="Times New Roman"/>
          <w:sz w:val="28"/>
          <w:szCs w:val="28"/>
        </w:rPr>
        <w:t xml:space="preserve">экспертных заключений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8"/>
        <w:ind w:firstLine="567"/>
        <w:jc w:val="center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Состав и 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Комиссия образуется в составе председателя, его заместителя (заместителей), секретаря, иных членов. 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Председателем Комиссии является заместитель директора Департамента, курирующий Управление традиционного хозяйствования коренных малочисленных народов Севера. Секретаря Комиссии назначает председатель Комиссии из числа </w:t>
      </w:r>
      <w:r>
        <w:rPr>
          <w:rFonts w:ascii="Times New Roman" w:hAnsi="Times New Roman"/>
          <w:sz w:val="28"/>
          <w:szCs w:val="28"/>
        </w:rPr>
        <w:t xml:space="preserve">сотрудников Управления традиционного хозяйствования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pacing w:val="2"/>
          <w:sz w:val="28"/>
          <w:szCs w:val="28"/>
        </w:rPr>
        <w:t xml:space="preserve">Членами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могут являться </w:t>
      </w:r>
      <w:r>
        <w:rPr>
          <w:rFonts w:ascii="Times New Roman" w:hAnsi="Times New Roman"/>
          <w:sz w:val="28"/>
          <w:szCs w:val="28"/>
        </w:rPr>
        <w:t xml:space="preserve">представители общественных, некоммерческих организаций, государственных учреждений, законодательных и исполнительных органов государственной власти автономного округа, членов общественных советов пр</w:t>
      </w:r>
      <w:r>
        <w:rPr>
          <w:rFonts w:ascii="Times New Roman" w:hAnsi="Times New Roman"/>
          <w:sz w:val="28"/>
          <w:szCs w:val="28"/>
        </w:rPr>
        <w:t xml:space="preserve">и исполнительных орг</w:t>
      </w:r>
      <w:r>
        <w:rPr>
          <w:rFonts w:ascii="Times New Roman" w:hAnsi="Times New Roman"/>
          <w:sz w:val="28"/>
          <w:szCs w:val="28"/>
          <w:highlight w:val="none"/>
        </w:rPr>
        <w:t xml:space="preserve">ан</w:t>
      </w:r>
      <w:r>
        <w:rPr>
          <w:rFonts w:ascii="Times New Roman" w:hAnsi="Times New Roman"/>
          <w:sz w:val="28"/>
          <w:szCs w:val="28"/>
          <w:highlight w:val="none"/>
        </w:rPr>
        <w:t xml:space="preserve">ах</w:t>
      </w:r>
      <w:r>
        <w:rPr>
          <w:rFonts w:ascii="Times New Roman" w:hAnsi="Times New Roman"/>
          <w:sz w:val="28"/>
          <w:szCs w:val="28"/>
          <w:highlight w:val="none"/>
        </w:rPr>
        <w:t xml:space="preserve"> государственной власти автономного округа, а также по согласованию представителей федеральных органов исполнительной власти (их территориальных органов) и органов местного самоуправления муниципальных образований автономного округа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 </w:t>
      </w:r>
      <w:r>
        <w:rPr>
          <w:highlight w:val="none"/>
        </w:rPr>
      </w:r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3.4</w:t>
      </w:r>
      <w:r>
        <w:rPr>
          <w:rFonts w:ascii="Times New Roman" w:hAnsi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  <w:t xml:space="preserve">Председатель 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Комиссии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руководит его деятельностью, назначает и проводит заседания 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Комиссии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, устанавливает дату и место проведения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открытой (</w:t>
      </w:r>
      <w:r>
        <w:rPr>
          <w:rFonts w:ascii="Times New Roman" w:hAnsi="Times New Roman"/>
          <w:sz w:val="28"/>
          <w:szCs w:val="28"/>
          <w:highlight w:val="none"/>
        </w:rPr>
        <w:t xml:space="preserve">публичной) </w:t>
      </w:r>
      <w:r>
        <w:rPr>
          <w:rFonts w:ascii="Times New Roman" w:hAnsi="Times New Roman"/>
          <w:sz w:val="28"/>
          <w:szCs w:val="28"/>
          <w:highlight w:val="none"/>
        </w:rPr>
        <w:t xml:space="preserve">защиты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, п</w:t>
      </w:r>
      <w:r>
        <w:rPr>
          <w:rFonts w:ascii="Times New Roman" w:hAnsi="Times New Roman"/>
          <w:spacing w:val="2"/>
          <w:sz w:val="28"/>
          <w:szCs w:val="28"/>
        </w:rPr>
        <w:t xml:space="preserve">одписывает протоколы заседаний, выполняет иные функции</w:t>
      </w:r>
      <w:r>
        <w:rPr>
          <w:rFonts w:ascii="Times New Roman" w:hAnsi="Times New Roman"/>
          <w:spacing w:val="2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/>
          <w:spacing w:val="2"/>
          <w:sz w:val="28"/>
          <w:szCs w:val="28"/>
        </w:rPr>
        <w:t xml:space="preserve">П</w:t>
      </w:r>
      <w:r>
        <w:rPr>
          <w:rFonts w:ascii="Times New Roman" w:hAnsi="Times New Roman"/>
          <w:spacing w:val="2"/>
          <w:sz w:val="28"/>
          <w:szCs w:val="28"/>
        </w:rPr>
        <w:t xml:space="preserve">оложением</w:t>
      </w:r>
      <w:r>
        <w:rPr>
          <w:rFonts w:ascii="Times New Roman" w:hAnsi="Times New Roman" w:eastAsia="Calibri"/>
          <w:bCs/>
          <w:sz w:val="28"/>
          <w:szCs w:val="28"/>
          <w:lang w:eastAsia="en-US"/>
        </w:rPr>
        <w:t xml:space="preserve"> о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pacing w:val="2"/>
          <w:sz w:val="28"/>
          <w:szCs w:val="28"/>
        </w:rPr>
        <w:t xml:space="preserve">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</w:t>
      </w:r>
      <w:r>
        <w:rPr>
          <w:rFonts w:ascii="Times New Roman" w:hAnsi="Times New Roman"/>
          <w:sz w:val="28"/>
          <w:szCs w:val="28"/>
        </w:rPr>
        <w:t xml:space="preserve"> (заместители) председателя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координирует 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деятельность, руководит подготовкой протоколов, решений и </w:t>
      </w:r>
      <w:r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. В случае отсутствия председателя исполняет его обязанности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председательствует на заседаниях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</w:t>
      </w:r>
      <w:r>
        <w:rPr>
          <w:rFonts w:ascii="Times New Roman" w:hAnsi="Times New Roman"/>
          <w:sz w:val="28"/>
          <w:szCs w:val="28"/>
        </w:rPr>
        <w:t xml:space="preserve">. Секретарь взаимодействует с членами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, формирует повестку дня заседания, информирует членов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дате, времени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месте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, направляет материалы к заседанию, готовит </w:t>
      </w:r>
      <w:r>
        <w:rPr>
          <w:rFonts w:ascii="Times New Roman" w:hAnsi="Times New Roman"/>
          <w:sz w:val="28"/>
          <w:szCs w:val="28"/>
        </w:rPr>
        <w:t xml:space="preserve">информацию для </w:t>
      </w:r>
      <w:r>
        <w:rPr>
          <w:rFonts w:ascii="Times New Roman" w:hAnsi="Times New Roman"/>
          <w:sz w:val="28"/>
          <w:szCs w:val="28"/>
        </w:rPr>
        <w:t xml:space="preserve">доклад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председателя, оформляет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подписывает протокол заседани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, выполняет иные функции в соответствии с настоящим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оложением</w:t>
      </w:r>
      <w:r>
        <w:rPr>
          <w:rFonts w:ascii="Times New Roman" w:hAnsi="Times New Roman" w:eastAsia="Calibri"/>
          <w:bCs/>
          <w:sz w:val="28"/>
          <w:szCs w:val="28"/>
          <w:lang w:eastAsia="en-US"/>
        </w:rPr>
        <w:t xml:space="preserve"> о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Организационно-техническое и информационное обеспечение  деятельности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Департамент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8"/>
        <w:ind w:firstLine="567"/>
        <w:jc w:val="center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Порядок деятельности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 xml:space="preserve">заседания по мере необходимости.</w:t>
      </w:r>
      <w:r>
        <w:rPr>
          <w:rFonts w:ascii="Times New Roman" w:hAnsi="Times New Roman"/>
          <w:sz w:val="28"/>
          <w:szCs w:val="28"/>
        </w:rPr>
        <w:t xml:space="preserve"> Извещение о проведении заседания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направляется секретарем не позднее </w:t>
      </w:r>
      <w:r>
        <w:rPr>
          <w:rFonts w:ascii="Times New Roman" w:hAnsi="Times New Roman"/>
          <w:sz w:val="28"/>
          <w:szCs w:val="28"/>
        </w:rPr>
        <w:t xml:space="preserve">трех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</w:t>
      </w:r>
      <w:r>
        <w:rPr>
          <w:rFonts w:ascii="Times New Roman" w:hAnsi="Times New Roman"/>
          <w:sz w:val="28"/>
          <w:szCs w:val="28"/>
        </w:rPr>
        <w:t xml:space="preserve"> дней до начала заседания. О невозможности своего участия</w:t>
      </w:r>
      <w:r>
        <w:rPr>
          <w:rFonts w:ascii="Times New Roman" w:hAnsi="Times New Roman"/>
          <w:sz w:val="28"/>
          <w:szCs w:val="28"/>
        </w:rPr>
        <w:t xml:space="preserve"> в заседании</w:t>
      </w:r>
      <w:r>
        <w:rPr>
          <w:rFonts w:ascii="Times New Roman" w:hAnsi="Times New Roman"/>
          <w:sz w:val="28"/>
          <w:szCs w:val="28"/>
        </w:rPr>
        <w:t xml:space="preserve"> член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 xml:space="preserve">прои</w:t>
      </w:r>
      <w:r>
        <w:rPr>
          <w:rFonts w:ascii="Times New Roman" w:hAnsi="Times New Roman"/>
          <w:sz w:val="28"/>
          <w:szCs w:val="28"/>
        </w:rPr>
        <w:t xml:space="preserve">нформировать </w:t>
      </w:r>
      <w:r>
        <w:rPr>
          <w:rFonts w:ascii="Times New Roman" w:hAnsi="Times New Roman"/>
          <w:sz w:val="28"/>
          <w:szCs w:val="28"/>
        </w:rPr>
        <w:t xml:space="preserve">заранее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, который не может по уважительным причинам принять участие в заседании, имеет право не </w:t>
      </w:r>
      <w:r>
        <w:rPr>
          <w:rFonts w:ascii="Times New Roman" w:hAnsi="Times New Roman"/>
          <w:sz w:val="28"/>
          <w:szCs w:val="28"/>
        </w:rPr>
        <w:t xml:space="preserve">позднее,</w:t>
      </w:r>
      <w:r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 xml:space="preserve">один</w:t>
      </w:r>
      <w:r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 xml:space="preserve"> до проведения заседания представить свое мнение по рассматриваемым вопросам в письменной форме секретарю, котор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е учитывается при обсуждении на заседании.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правомочным, если </w:t>
      </w:r>
      <w:r>
        <w:rPr>
          <w:rFonts w:ascii="Times New Roman" w:hAnsi="Times New Roman"/>
          <w:sz w:val="28"/>
          <w:szCs w:val="28"/>
        </w:rPr>
        <w:t xml:space="preserve">на нем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присутствуют более половины</w:t>
      </w:r>
      <w:r>
        <w:rPr>
          <w:rFonts w:ascii="Times New Roman" w:hAnsi="Times New Roman"/>
          <w:spacing w:val="2"/>
          <w:sz w:val="28"/>
          <w:szCs w:val="28"/>
        </w:rPr>
        <w:t xml:space="preserve"> списочного состава членов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, с учетом представленного письменного мнения отсутствующих членов (при его наличии), путем открытого голосования. 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 xml:space="preserve">Каждый член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один голос. Не допускается передача голоса членом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иному лицу.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Решени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оформляются протоколом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Подписанные протоколы и иные документы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хранятся в Департаменте.</w:t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8"/>
        <w:ind w:firstLine="567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Регламент проведения </w:t>
      </w:r>
      <w:r>
        <w:rPr>
          <w:rFonts w:ascii="Times New Roman" w:hAnsi="Times New Roman"/>
          <w:sz w:val="28"/>
          <w:szCs w:val="28"/>
        </w:rPr>
        <w:t xml:space="preserve">открытой (публичной) защиты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и </w:t>
      </w:r>
      <w:r>
        <w:rPr>
          <w:rFonts w:ascii="Times New Roman" w:hAnsi="Times New Roman"/>
          <w:sz w:val="28"/>
          <w:szCs w:val="28"/>
          <w:highlight w:val="none"/>
        </w:rPr>
        <w:t xml:space="preserve">отбор </w:t>
      </w:r>
      <w:r>
        <w:rPr>
          <w:rFonts w:ascii="Times New Roman" w:hAnsi="Times New Roman"/>
          <w:sz w:val="28"/>
          <w:szCs w:val="28"/>
          <w:highlight w:val="none"/>
        </w:rPr>
        <w:t xml:space="preserve">получателей грантов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8"/>
        <w:ind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5.1.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рассматриваются</w:t>
      </w:r>
      <w:r>
        <w:rPr>
          <w:rFonts w:ascii="Times New Roman" w:hAnsi="Times New Roman"/>
          <w:sz w:val="28"/>
          <w:highlight w:val="none"/>
        </w:rPr>
        <w:t xml:space="preserve"> на заседании 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Комиссии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форме открытой (публичной) защиты</w:t>
      </w:r>
      <w:r>
        <w:rPr>
          <w:rFonts w:ascii="Times New Roman" w:hAnsi="Times New Roman"/>
          <w:sz w:val="28"/>
          <w:highlight w:val="none"/>
        </w:rPr>
        <w:t xml:space="preserve">, в соответствии с регламентом: защита – 5 минут, обсуждение – 10 минут. </w:t>
      </w:r>
      <w:r>
        <w:rPr>
          <w:highlight w:val="none"/>
        </w:rPr>
      </w:r>
    </w:p>
    <w:p>
      <w:pPr>
        <w:ind w:firstLine="585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5.</w:t>
      </w: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none"/>
        </w:rPr>
        <w:t xml:space="preserve">. Форма </w:t>
      </w:r>
      <w:r>
        <w:rPr>
          <w:sz w:val="28"/>
          <w:szCs w:val="28"/>
          <w:highlight w:val="none"/>
        </w:rPr>
        <w:t xml:space="preserve">открытой (</w:t>
      </w:r>
      <w:r>
        <w:rPr>
          <w:sz w:val="28"/>
          <w:szCs w:val="28"/>
          <w:highlight w:val="none"/>
        </w:rPr>
        <w:t xml:space="preserve">публи</w:t>
      </w:r>
      <w:r>
        <w:rPr>
          <w:sz w:val="28"/>
          <w:szCs w:val="28"/>
          <w:highlight w:val="none"/>
        </w:rPr>
        <w:t xml:space="preserve">чной защиты</w:t>
      </w:r>
      <w:r>
        <w:rPr>
          <w:sz w:val="28"/>
          <w:szCs w:val="28"/>
          <w:highlight w:val="none"/>
        </w:rPr>
        <w:t xml:space="preserve">) </w:t>
      </w:r>
      <w:r>
        <w:rPr>
          <w:sz w:val="28"/>
          <w:szCs w:val="28"/>
          <w:highlight w:val="none"/>
        </w:rPr>
        <w:t xml:space="preserve">Заявки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(далее – защита </w:t>
      </w:r>
      <w:r>
        <w:rPr>
          <w:sz w:val="28"/>
          <w:szCs w:val="28"/>
          <w:highlight w:val="none"/>
        </w:rPr>
        <w:t xml:space="preserve">Заявки</w:t>
      </w:r>
      <w:r>
        <w:rPr>
          <w:sz w:val="28"/>
          <w:szCs w:val="28"/>
          <w:highlight w:val="none"/>
        </w:rPr>
        <w:t xml:space="preserve">)</w:t>
      </w:r>
      <w:r>
        <w:rPr>
          <w:sz w:val="28"/>
          <w:szCs w:val="28"/>
          <w:highlight w:val="none"/>
        </w:rPr>
        <w:t xml:space="preserve"> определяется самим </w:t>
      </w:r>
      <w:r>
        <w:rPr>
          <w:sz w:val="28"/>
          <w:szCs w:val="28"/>
          <w:highlight w:val="none"/>
        </w:rPr>
        <w:t xml:space="preserve">получателем гранта</w:t>
      </w:r>
      <w:r>
        <w:rPr>
          <w:sz w:val="28"/>
          <w:szCs w:val="28"/>
          <w:highlight w:val="none"/>
        </w:rPr>
        <w:t xml:space="preserve">, допущенным к участию в </w:t>
      </w:r>
      <w:r>
        <w:rPr>
          <w:sz w:val="28"/>
          <w:szCs w:val="28"/>
          <w:highlight w:val="none"/>
        </w:rPr>
        <w:t xml:space="preserve">отборе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(презентация, фото-видео альбом, методический материал, стенды и иное),</w:t>
      </w:r>
      <w:r>
        <w:rPr>
          <w:sz w:val="28"/>
          <w:szCs w:val="28"/>
          <w:highlight w:val="none"/>
        </w:rPr>
        <w:t xml:space="preserve"> и предполагает представление </w:t>
      </w:r>
      <w:r>
        <w:rPr>
          <w:color w:val="000000"/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роекта, то есть </w:t>
      </w:r>
      <w:r>
        <w:rPr>
          <w:color w:val="000000"/>
          <w:sz w:val="28"/>
          <w:szCs w:val="28"/>
          <w:highlight w:val="none"/>
        </w:rPr>
        <w:t xml:space="preserve">короткое структурированное изложение основных разделов Проекта, обоснование его жизнеспособности и конкурентоспособности, расчет эффективности и результативности. </w:t>
      </w:r>
      <w:r>
        <w:rPr>
          <w:highlight w:val="none"/>
        </w:rPr>
      </w:r>
    </w:p>
    <w:p>
      <w:pPr>
        <w:ind w:firstLine="567"/>
        <w:jc w:val="both"/>
        <w:rPr>
          <w:rFonts w:eastAsia="Calibri"/>
          <w:strike w:val="0"/>
          <w:color w:val="000000" w:themeColor="text1"/>
          <w:sz w:val="28"/>
          <w:szCs w:val="28"/>
          <w:highlight w:val="none"/>
        </w:rPr>
      </w:pP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5.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3. После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защиты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Заявки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Председатель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Комиссии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озвучивает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экспертные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заключения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,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называя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общее количество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баллов,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в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ыставленное 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эксперт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ами, и сделанные выводы</w:t>
      </w:r>
      <w:r>
        <w:rPr>
          <w:rFonts w:eastAsia="Calibri"/>
          <w:strike w:val="0"/>
          <w:color w:val="000000" w:themeColor="text1"/>
          <w:sz w:val="28"/>
          <w:szCs w:val="28"/>
          <w:highlight w:val="none"/>
          <w:lang w:eastAsia="en-US"/>
        </w:rPr>
        <w:t xml:space="preserve">.</w:t>
      </w:r>
      <w:r>
        <w:rPr>
          <w:strike w:val="0"/>
          <w:color w:val="000000" w:themeColor="text1"/>
          <w:highlight w:val="none"/>
        </w:rPr>
      </w:r>
      <w:r>
        <w:rPr>
          <w:highlight w:val="none"/>
        </w:rPr>
      </w:r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5.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Каждый член 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Комиссии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после защиты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Заявки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осуществляет оценку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З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явки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по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5-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балльной шкале с учетом экспертных заключений, заполняя оценочную ведомость (Приложение 1), которую сда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т секретарю непосредственно после окончания защиты.</w:t>
      </w:r>
      <w:r>
        <w:rPr>
          <w:highlight w:val="none"/>
        </w:rPr>
      </w:r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5.5.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Проект оценивается по каждому из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критер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иев, перечисленных в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пункт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ах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5.6.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и 5.7.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 w:eastAsia="Calibr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, от 1 до 5 баллов (целым числом).</w:t>
      </w:r>
      <w:r/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5 баллов - оценка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отлично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 Проект полностью соответствует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данному критерию, замечания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отсутствуют;</w:t>
      </w:r>
      <w:r/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4 балла - оценка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«хорошо»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Проект имеет несущественные замечания по данному критерию;</w:t>
      </w:r>
      <w:r/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3 балла - оценка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удовлетворительно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 Проект содержит ряд недостатков по данному критерию;</w:t>
      </w:r>
      <w:r/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2 балла - оценка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неудовлетворительно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 Проект содержит ошибки, подготовлен некачественно, не в соответствии с критерием;</w:t>
      </w:r>
      <w:r/>
    </w:p>
    <w:p>
      <w:pPr>
        <w:pStyle w:val="839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1 балл - оценка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неудовлетворительно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 Проект не соответствует заявленным целям, критерию, что свидетельствует о высоких рисках его реализации.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5.6.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Критерии оценки заявок: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trike/>
          <w:color w:val="ff0000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(результативность реализации Проекта, определяемая отношением полученного экономического эффекта (результата) к затратам на реализацию проекта);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значимость Проекта (Проект направлен на развитие тра</w:t>
      </w:r>
      <w:r>
        <w:rPr>
          <w:rFonts w:ascii="Times New Roman" w:hAnsi="Times New Roman" w:cs="Times New Roman"/>
          <w:sz w:val="28"/>
          <w:szCs w:val="28"/>
        </w:rPr>
        <w:t xml:space="preserve">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традиционного образа жизни коренных малочисленных народов Севера);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потенциальная область применения результатов Проекта (сфера применения Пр</w:t>
      </w:r>
      <w:r>
        <w:rPr>
          <w:rFonts w:ascii="Times New Roman" w:hAnsi="Times New Roman" w:cs="Times New Roman"/>
          <w:sz w:val="28"/>
          <w:szCs w:val="28"/>
        </w:rPr>
        <w:t xml:space="preserve">оекта направлена на развитие традиционной хозяйственной деятельности коренных малочисленных народов Севера, детально описана, аргументирована с указанием перечня услуг (работ), предоставление которых должно быть обеспечено в результате реализации Проекта);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рабочих мест, в том числе для коренных малочисленных народов Севера автономного округа (информация о возможности трудоустройства граждан на новые рабочие места представлена, указаны планируемые периоды и направления трудоустройства);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ресурсы (Соискатель располагает ресурсами на реализацию Проекта </w:t>
      </w:r>
      <w:r>
        <w:rPr>
          <w:rFonts w:ascii="Times New Roman" w:hAnsi="Times New Roman" w:cs="Times New Roman"/>
          <w:sz w:val="28"/>
          <w:szCs w:val="28"/>
        </w:rPr>
        <w:t xml:space="preserve">более</w:t>
      </w:r>
      <w:r>
        <w:rPr>
          <w:rFonts w:ascii="Times New Roman" w:hAnsi="Times New Roman" w:cs="Times New Roman"/>
          <w:sz w:val="28"/>
          <w:szCs w:val="28"/>
        </w:rPr>
        <w:t xml:space="preserve"> 25% от общей суммы расходов на его реализацию, имуществом, находящимся в безвозмездном пользовании или аренде, оборудованием, транспортными средствами и другим) и (или) подтверждает реалистичность их привлечения (приобретения);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</w:t>
      </w:r>
      <w:r>
        <w:rPr>
          <w:rFonts w:ascii="Times New Roman" w:hAnsi="Times New Roman" w:cs="Times New Roman"/>
          <w:sz w:val="28"/>
          <w:szCs w:val="28"/>
        </w:rPr>
        <w:t xml:space="preserve">спективы дальнейшего развития Проекта (Соискателем представлена информация о возможности продолжения деятельности, на которую направлен Проект, за счет собственного финансирования и самоокупаемости Проекта, возможность расширения географии его применения).</w:t>
      </w:r>
      <w:r/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5.7. Критерии отбора получателей гранта: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52"/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  <w:highlight w:val="none"/>
        </w:rPr>
        <w:t xml:space="preserve">Включение в Реестр организаций или соответствие следующим критериям: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52"/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  <w:highlight w:val="none"/>
        </w:rPr>
        <w:t xml:space="preserve">хотя бы один из учредителей является лицом из числа коренных малочисленных народов Севера, проживающих в автономном округе;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52"/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  <w:highlight w:val="none"/>
        </w:rPr>
        <w:t xml:space="preserve"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выручки должна составлять не менее 70%;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52"/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  <w:highlight w:val="none"/>
        </w:rPr>
        <w:t xml:space="preserve">не менее половины рабочих мест занято лицами из числа коренных малочисленных народов Севера, проживающих в автономном округе;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52"/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  <w:highlight w:val="none"/>
        </w:rPr>
        <w:t xml:space="preserve"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52"/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  <w:highlight w:val="none"/>
        </w:rPr>
        <w:t xml:space="preserve">регистрация в качестве юридического лица в автономном округе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3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567"/>
        <w:jc w:val="both"/>
        <w:rPr>
          <w:rFonts w:eastAsia="Calibri"/>
          <w:sz w:val="28"/>
          <w:szCs w:val="28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5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.8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 Секретарь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Комиссии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на основании оценочных ведомостей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заполняет итоговую ведомость (П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риложение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).</w:t>
      </w:r>
      <w:r>
        <w:rPr>
          <w:highlight w:val="none"/>
        </w:rPr>
      </w:r>
    </w:p>
    <w:p>
      <w:pPr>
        <w:ind w:firstLine="567"/>
        <w:jc w:val="both"/>
        <w:rPr>
          <w:rFonts w:eastAsia="Calibri"/>
          <w:sz w:val="28"/>
          <w:szCs w:val="28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5.</w:t>
      </w:r>
      <w:r>
        <w:rPr>
          <w:rFonts w:eastAsiaTheme="minorEastAsia"/>
          <w:highlight w:val="none"/>
        </w:rPr>
        <w:t xml:space="preserve">9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</w:t>
      </w:r>
      <w:r>
        <w:rPr>
          <w:rFonts w:eastAsiaTheme="minorEastAsia"/>
          <w:highlight w:val="none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Грант предоставляется получателю гранта, набравшему наибольший итоговый балл,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но не менее 50% от максимально возможной суммы баллов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 </w:t>
      </w: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5.</w:t>
      </w:r>
      <w:r>
        <w:rPr>
          <w:rFonts w:eastAsia="Calibri"/>
          <w:sz w:val="28"/>
          <w:szCs w:val="28"/>
          <w:highlight w:val="none"/>
          <w:lang w:eastAsia="en-US"/>
        </w:rPr>
        <w:t xml:space="preserve">10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 </w:t>
      </w:r>
      <w:r>
        <w:rPr>
          <w:sz w:val="28"/>
          <w:szCs w:val="28"/>
          <w:highlight w:val="none"/>
          <w:lang w:eastAsia="en-US"/>
        </w:rPr>
        <w:t xml:space="preserve">В соответствии с итоговой ведомостью, при наличии З</w:t>
      </w:r>
      <w:r>
        <w:rPr>
          <w:sz w:val="28"/>
          <w:szCs w:val="28"/>
          <w:highlight w:val="none"/>
        </w:rPr>
        <w:t xml:space="preserve">аявок</w:t>
      </w:r>
      <w:r>
        <w:rPr>
          <w:sz w:val="28"/>
          <w:szCs w:val="28"/>
          <w:highlight w:val="none"/>
        </w:rPr>
        <w:t xml:space="preserve">, набравших равное количество баллов в одной номинации,</w:t>
      </w:r>
      <w:r>
        <w:rPr>
          <w:sz w:val="28"/>
          <w:szCs w:val="28"/>
          <w:highlight w:val="none"/>
        </w:rPr>
        <w:t xml:space="preserve"> </w:t>
      </w:r>
      <w:r>
        <w:rPr>
          <w:spacing w:val="2"/>
          <w:sz w:val="28"/>
          <w:szCs w:val="28"/>
          <w:highlight w:val="none"/>
        </w:rPr>
        <w:t xml:space="preserve">грант распределяется между получателями</w:t>
      </w:r>
      <w:r>
        <w:rPr>
          <w:spacing w:val="2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равных долях.</w:t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5.</w:t>
      </w:r>
      <w:r>
        <w:rPr>
          <w:sz w:val="28"/>
          <w:szCs w:val="28"/>
          <w:highlight w:val="none"/>
        </w:rPr>
        <w:t xml:space="preserve">11</w:t>
      </w:r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случае </w:t>
      </w:r>
      <w:r>
        <w:rPr>
          <w:sz w:val="28"/>
          <w:szCs w:val="28"/>
          <w:highlight w:val="none"/>
        </w:rPr>
        <w:t xml:space="preserve">наличия </w:t>
      </w:r>
      <w:r>
        <w:rPr>
          <w:sz w:val="28"/>
          <w:szCs w:val="28"/>
          <w:highlight w:val="none"/>
        </w:rPr>
        <w:t xml:space="preserve">сложившейся экономии </w:t>
      </w:r>
      <w:r>
        <w:rPr>
          <w:sz w:val="28"/>
          <w:szCs w:val="28"/>
          <w:highlight w:val="none"/>
        </w:rPr>
        <w:t xml:space="preserve">по несостоявшейся номинации и (или) </w:t>
      </w:r>
      <w:r>
        <w:rPr>
          <w:sz w:val="28"/>
          <w:szCs w:val="28"/>
          <w:highlight w:val="none"/>
        </w:rPr>
        <w:t xml:space="preserve">от состоявш</w:t>
      </w:r>
      <w:r>
        <w:rPr>
          <w:sz w:val="28"/>
          <w:szCs w:val="28"/>
          <w:highlight w:val="none"/>
        </w:rPr>
        <w:t xml:space="preserve">ейся</w:t>
      </w:r>
      <w:r>
        <w:rPr>
          <w:sz w:val="28"/>
          <w:szCs w:val="28"/>
          <w:highlight w:val="none"/>
        </w:rPr>
        <w:t xml:space="preserve"> номинаци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 (когда получатель заявил сумму расходов Проекта меньше </w:t>
      </w:r>
      <w:r>
        <w:rPr>
          <w:sz w:val="28"/>
          <w:szCs w:val="28"/>
          <w:highlight w:val="none"/>
        </w:rPr>
        <w:t xml:space="preserve">установленного</w:t>
      </w:r>
      <w:r>
        <w:rPr>
          <w:sz w:val="28"/>
          <w:szCs w:val="28"/>
          <w:highlight w:val="none"/>
        </w:rPr>
        <w:t xml:space="preserve"> размера Гранта)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Департамент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перераспредел</w:t>
      </w:r>
      <w:r>
        <w:rPr>
          <w:sz w:val="28"/>
          <w:szCs w:val="28"/>
          <w:highlight w:val="none"/>
        </w:rPr>
        <w:t xml:space="preserve">я</w:t>
      </w:r>
      <w:r>
        <w:rPr>
          <w:sz w:val="28"/>
          <w:szCs w:val="28"/>
          <w:highlight w:val="none"/>
        </w:rPr>
        <w:t xml:space="preserve">ет</w:t>
      </w:r>
      <w:r>
        <w:rPr>
          <w:sz w:val="28"/>
          <w:szCs w:val="28"/>
          <w:highlight w:val="none"/>
        </w:rPr>
        <w:t xml:space="preserve"> средств</w:t>
      </w:r>
      <w:r>
        <w:rPr>
          <w:sz w:val="28"/>
          <w:szCs w:val="28"/>
          <w:highlight w:val="none"/>
        </w:rPr>
        <w:t xml:space="preserve">а</w:t>
      </w:r>
      <w:r>
        <w:rPr>
          <w:sz w:val="28"/>
          <w:szCs w:val="28"/>
          <w:highlight w:val="none"/>
        </w:rPr>
        <w:t xml:space="preserve"> между другими </w:t>
      </w:r>
      <w:r>
        <w:rPr>
          <w:sz w:val="28"/>
          <w:szCs w:val="28"/>
          <w:highlight w:val="none"/>
        </w:rPr>
        <w:t xml:space="preserve">получателями</w:t>
      </w:r>
      <w:r>
        <w:rPr>
          <w:sz w:val="28"/>
          <w:szCs w:val="28"/>
          <w:highlight w:val="none"/>
        </w:rPr>
        <w:t xml:space="preserve">, чьи З</w:t>
      </w:r>
      <w:r>
        <w:rPr>
          <w:sz w:val="28"/>
          <w:szCs w:val="28"/>
          <w:highlight w:val="none"/>
        </w:rPr>
        <w:t xml:space="preserve">аявки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набрали не менее 80% от количества баллов, набранных Получателем, в соответствующих номинациях </w:t>
      </w:r>
      <w:r>
        <w:rPr>
          <w:sz w:val="28"/>
          <w:szCs w:val="28"/>
          <w:highlight w:val="none"/>
        </w:rPr>
        <w:t xml:space="preserve">отбора</w:t>
      </w:r>
      <w:r>
        <w:rPr>
          <w:sz w:val="28"/>
          <w:szCs w:val="28"/>
          <w:highlight w:val="none"/>
        </w:rPr>
        <w:t xml:space="preserve">, пропорционально количеству набранных баллов по результатам итоговой ведомости </w:t>
      </w:r>
      <w:r>
        <w:rPr>
          <w:sz w:val="28"/>
          <w:szCs w:val="28"/>
          <w:highlight w:val="none"/>
        </w:rPr>
        <w:t xml:space="preserve">по формуле:</w:t>
      </w:r>
      <w:r>
        <w:rPr>
          <w:sz w:val="28"/>
          <w:szCs w:val="28"/>
          <w:highlight w:val="none"/>
        </w:rPr>
        <w:t xml:space="preserve"> </w:t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  <w:highlight w:val="none"/>
          <w:vertAlign w:val="subscript"/>
        </w:rPr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  <w:vertAlign w:val="subscript"/>
        </w:rPr>
        <w:t xml:space="preserve">3 </w:t>
      </w:r>
      <w:r>
        <w:rPr>
          <w:sz w:val="28"/>
          <w:szCs w:val="28"/>
          <w:highlight w:val="none"/>
          <w:vertAlign w:val="baseline"/>
        </w:rPr>
        <w:t xml:space="preserve">=</w:t>
      </w:r>
      <w:r>
        <w:rPr>
          <w:highlight w:val="none"/>
        </w:rPr>
        <w:t xml:space="preserve"> </w:t>
      </w:r>
      <m:oMath>
        <m:f>
          <m:fPr>
            <m:ctrlPr>
              <w:rPr>
                <w:rFonts w:hint="default" w:ascii="Cambria Math" w:hAnsi="Cambria Math" w:eastAsia="Cambria Math" w:cs="Cambria Math"/>
                <w:i/>
                <w:sz w:val="28"/>
                <w:highlight w:val="none"/>
              </w:rPr>
            </m:ctrlPr>
          </m:fPr>
          <m:num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Б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з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 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*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 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Го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бщ</m:t>
            </m:r>
          </m:num>
          <m:den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Б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 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о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  <w:highlight w:val="none"/>
                <w:lang w:val="ru-RU"/>
              </w:rPr>
              <m:rPr/>
              <m:t>бщ</m:t>
            </m:r>
          </m:den>
        </m:f>
      </m:oMath>
      <w:r>
        <w:rPr>
          <w:sz w:val="28"/>
          <w:szCs w:val="28"/>
          <w:highlight w:val="none"/>
          <w:vertAlign w:val="subscript"/>
        </w:rPr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где:</w:t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  <w:vertAlign w:val="subscript"/>
        </w:rPr>
        <w:t xml:space="preserve">з</w:t>
      </w:r>
      <w:r>
        <w:rPr>
          <w:sz w:val="28"/>
          <w:szCs w:val="28"/>
          <w:highlight w:val="none"/>
        </w:rPr>
        <w:t xml:space="preserve"> - размер Гранта, предоставляемого </w:t>
      </w:r>
      <w:r>
        <w:rPr>
          <w:sz w:val="28"/>
          <w:szCs w:val="28"/>
          <w:highlight w:val="none"/>
        </w:rPr>
        <w:t xml:space="preserve">получателю гранта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чья заявк</w:t>
      </w:r>
      <w:r>
        <w:rPr>
          <w:sz w:val="28"/>
          <w:szCs w:val="28"/>
          <w:highlight w:val="none"/>
        </w:rPr>
        <w:t xml:space="preserve">а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набрала не менее 80% от количества баллов, набранных получателем </w:t>
      </w:r>
      <w:r>
        <w:rPr>
          <w:sz w:val="28"/>
          <w:szCs w:val="28"/>
          <w:highlight w:val="none"/>
        </w:rPr>
        <w:t xml:space="preserve">гранта</w:t>
      </w:r>
      <w:r>
        <w:rPr>
          <w:sz w:val="28"/>
          <w:szCs w:val="28"/>
          <w:highlight w:val="none"/>
        </w:rPr>
        <w:t xml:space="preserve">, в соответствующей номинации </w:t>
      </w:r>
      <w:r>
        <w:rPr>
          <w:sz w:val="28"/>
          <w:szCs w:val="28"/>
          <w:highlight w:val="none"/>
        </w:rPr>
        <w:t xml:space="preserve">отбора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  <w:vertAlign w:val="subscript"/>
        </w:rPr>
        <w:t xml:space="preserve">общ</w:t>
      </w:r>
      <w:r>
        <w:rPr>
          <w:sz w:val="28"/>
          <w:szCs w:val="28"/>
          <w:highlight w:val="none"/>
        </w:rPr>
        <w:t xml:space="preserve"> - неиспользованные средства, оставшиеся после выделения Гранта получателям </w:t>
      </w:r>
      <w:r>
        <w:rPr>
          <w:sz w:val="28"/>
          <w:szCs w:val="28"/>
          <w:highlight w:val="none"/>
        </w:rPr>
        <w:t xml:space="preserve">гранта</w:t>
      </w:r>
      <w:r>
        <w:rPr>
          <w:sz w:val="28"/>
          <w:szCs w:val="28"/>
          <w:highlight w:val="none"/>
        </w:rPr>
        <w:t xml:space="preserve">, направляемые на предоставление Грантов </w:t>
      </w:r>
      <w:r>
        <w:rPr>
          <w:sz w:val="28"/>
          <w:szCs w:val="28"/>
          <w:highlight w:val="none"/>
        </w:rPr>
        <w:t xml:space="preserve">получателям гранта</w:t>
      </w:r>
      <w:r>
        <w:rPr>
          <w:sz w:val="28"/>
          <w:szCs w:val="28"/>
          <w:highlight w:val="none"/>
        </w:rPr>
        <w:t xml:space="preserve">, чьи </w:t>
      </w:r>
      <w:r>
        <w:rPr>
          <w:sz w:val="28"/>
          <w:szCs w:val="28"/>
          <w:highlight w:val="none"/>
        </w:rPr>
        <w:t xml:space="preserve">заявки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набрали не менее 80% от количества</w:t>
      </w:r>
      <w:r>
        <w:rPr>
          <w:sz w:val="28"/>
          <w:szCs w:val="28"/>
          <w:highlight w:val="none"/>
        </w:rPr>
        <w:t xml:space="preserve"> баллов, набранных получателем </w:t>
      </w:r>
      <w:r>
        <w:rPr>
          <w:sz w:val="28"/>
          <w:szCs w:val="28"/>
          <w:highlight w:val="none"/>
        </w:rPr>
        <w:t xml:space="preserve">гранта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соответствующ</w:t>
      </w:r>
      <w:r>
        <w:rPr>
          <w:sz w:val="28"/>
          <w:szCs w:val="28"/>
          <w:highlight w:val="none"/>
        </w:rPr>
        <w:t xml:space="preserve">ей</w:t>
      </w:r>
      <w:r>
        <w:rPr>
          <w:sz w:val="28"/>
          <w:szCs w:val="28"/>
          <w:highlight w:val="none"/>
        </w:rPr>
        <w:t xml:space="preserve"> номинаци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отбора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Б</w:t>
      </w:r>
      <w:r>
        <w:rPr>
          <w:sz w:val="28"/>
          <w:szCs w:val="28"/>
          <w:highlight w:val="none"/>
          <w:vertAlign w:val="subscript"/>
        </w:rPr>
        <w:t xml:space="preserve">з</w:t>
      </w:r>
      <w:r>
        <w:rPr>
          <w:sz w:val="28"/>
          <w:szCs w:val="28"/>
          <w:highlight w:val="none"/>
        </w:rPr>
        <w:t xml:space="preserve"> - сумма баллов, набранных Проектом, </w:t>
      </w:r>
      <w:r>
        <w:rPr>
          <w:sz w:val="28"/>
          <w:szCs w:val="28"/>
          <w:highlight w:val="none"/>
        </w:rPr>
        <w:t xml:space="preserve">который набрал не менее 80% от количества баллов, набранных получателем гранта,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соответствующих номинациях отбора,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по результатам итоговой ведомости </w:t>
      </w:r>
      <w:r>
        <w:rPr>
          <w:spacing w:val="2"/>
          <w:sz w:val="28"/>
          <w:szCs w:val="28"/>
          <w:highlight w:val="none"/>
        </w:rPr>
        <w:t xml:space="preserve">Комиссии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Б</w:t>
      </w:r>
      <w:r>
        <w:rPr>
          <w:sz w:val="28"/>
          <w:szCs w:val="28"/>
          <w:highlight w:val="none"/>
          <w:vertAlign w:val="subscript"/>
        </w:rPr>
        <w:t xml:space="preserve">общ</w:t>
      </w:r>
      <w:r>
        <w:rPr>
          <w:sz w:val="28"/>
          <w:szCs w:val="28"/>
          <w:highlight w:val="none"/>
        </w:rPr>
        <w:t xml:space="preserve"> - сумма баллов Проектов всех </w:t>
      </w:r>
      <w:r>
        <w:rPr>
          <w:sz w:val="28"/>
          <w:szCs w:val="28"/>
          <w:highlight w:val="none"/>
        </w:rPr>
        <w:t xml:space="preserve">получателей гранта</w:t>
      </w:r>
      <w:r>
        <w:rPr>
          <w:sz w:val="28"/>
          <w:szCs w:val="28"/>
          <w:highlight w:val="none"/>
        </w:rPr>
        <w:t xml:space="preserve">, которые набрали не менее 80% от количеств</w:t>
      </w:r>
      <w:r>
        <w:rPr>
          <w:sz w:val="28"/>
          <w:szCs w:val="28"/>
          <w:highlight w:val="none"/>
        </w:rPr>
        <w:t xml:space="preserve">а баллов, набранных получателем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гранта</w:t>
      </w:r>
      <w:r>
        <w:rPr>
          <w:sz w:val="28"/>
          <w:szCs w:val="28"/>
          <w:highlight w:val="none"/>
        </w:rPr>
        <w:t xml:space="preserve"> в соответствующ</w:t>
      </w:r>
      <w:r>
        <w:rPr>
          <w:sz w:val="28"/>
          <w:szCs w:val="28"/>
          <w:highlight w:val="none"/>
        </w:rPr>
        <w:t xml:space="preserve">ей</w:t>
      </w:r>
      <w:r>
        <w:rPr>
          <w:sz w:val="28"/>
          <w:szCs w:val="28"/>
          <w:highlight w:val="none"/>
        </w:rPr>
        <w:t xml:space="preserve"> номинаци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отбора</w:t>
      </w:r>
      <w:r>
        <w:rPr>
          <w:sz w:val="28"/>
          <w:szCs w:val="28"/>
          <w:highlight w:val="none"/>
        </w:rPr>
        <w:t xml:space="preserve">, по результатам итоговой ведомости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pStyle w:val="839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Количество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Получателей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определяется в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объемах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 доведенных лимитов бюджетных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обязательств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на предоставление Грантов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 на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соответствующий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 финансовый год.</w:t>
      </w:r>
      <w:r>
        <w:rPr>
          <w:highlight w:val="none"/>
        </w:rPr>
      </w:r>
    </w:p>
    <w:p>
      <w:pPr>
        <w:pStyle w:val="839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5.13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ешение </w:t>
      </w:r>
      <w:r>
        <w:rPr>
          <w:rFonts w:ascii="Times New Roman" w:hAnsi="Times New Roman"/>
          <w:spacing w:val="2"/>
          <w:sz w:val="28"/>
          <w:szCs w:val="28"/>
          <w:highlight w:val="none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количестве баллов, полученных кажд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заявкой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(с указанием информации 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получателе гранта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представившем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оформляется протоколом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, который передается в Департамент 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для подготовки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 приказ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 о 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предоставлении</w:t>
      </w:r>
      <w:bookmarkStart w:id="0" w:name="_GoBack"/>
      <w:r>
        <w:rPr>
          <w:highlight w:val="none"/>
        </w:rPr>
      </w:r>
      <w:bookmarkEnd w:id="0"/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Гранта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. </w:t>
      </w:r>
      <w:r>
        <w:rPr>
          <w:highlight w:val="none"/>
        </w:rPr>
      </w:r>
    </w:p>
    <w:p>
      <w:pPr>
        <w:pStyle w:val="840"/>
        <w:ind w:firstLine="567"/>
        <w:jc w:val="center"/>
        <w:spacing w:before="120" w:after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ind w:firstLine="567"/>
        <w:jc w:val="center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V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. Конфликт интересов</w:t>
      </w:r>
      <w:r/>
    </w:p>
    <w:p>
      <w:pPr>
        <w:pStyle w:val="8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 Заинтересованность членов </w:t>
      </w:r>
      <w:r>
        <w:rPr>
          <w:spacing w:val="2"/>
          <w:sz w:val="28"/>
          <w:szCs w:val="28"/>
        </w:rPr>
        <w:t xml:space="preserve">Комиссии</w:t>
      </w:r>
      <w:r>
        <w:rPr>
          <w:sz w:val="28"/>
          <w:szCs w:val="28"/>
        </w:rPr>
        <w:t xml:space="preserve">, влечет за собой конфликт интересов заинтересованных лиц и </w:t>
      </w:r>
      <w:r>
        <w:rPr>
          <w:spacing w:val="2"/>
          <w:sz w:val="28"/>
          <w:szCs w:val="28"/>
        </w:rPr>
        <w:t xml:space="preserve">Комиссии</w:t>
      </w:r>
      <w:r>
        <w:rPr>
          <w:sz w:val="28"/>
          <w:szCs w:val="28"/>
        </w:rPr>
        <w:t xml:space="preserve">.</w:t>
      </w:r>
      <w:r/>
    </w:p>
    <w:p>
      <w:pPr>
        <w:pStyle w:val="840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Для целей настоящего Положения 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 xml:space="preserve"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заинтересованными в присуждении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рантов, признаются руководители и члены организаций, выступающих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получателей грантов</w:t>
      </w:r>
      <w:r>
        <w:rPr>
          <w:sz w:val="28"/>
          <w:szCs w:val="28"/>
          <w:highlight w:val="none"/>
        </w:rPr>
        <w:t xml:space="preserve">, а также лица, входящие в состав органов управления организаций, в которых работают </w:t>
      </w:r>
      <w:r>
        <w:rPr>
          <w:sz w:val="28"/>
          <w:szCs w:val="28"/>
          <w:highlight w:val="none"/>
        </w:rPr>
        <w:t xml:space="preserve">получатели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</w:rPr>
        <w:t xml:space="preserve">рантов, или состоящие с этими организациями либо с </w:t>
      </w:r>
      <w:r>
        <w:rPr>
          <w:sz w:val="28"/>
          <w:szCs w:val="28"/>
          <w:highlight w:val="none"/>
        </w:rPr>
        <w:t xml:space="preserve">получателями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трудовых отношениях, либо состоящие с </w:t>
      </w:r>
      <w:r>
        <w:rPr>
          <w:sz w:val="28"/>
          <w:szCs w:val="28"/>
          <w:highlight w:val="none"/>
        </w:rPr>
        <w:t xml:space="preserve">получателями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близких родственных отношениях.</w:t>
      </w:r>
      <w:r>
        <w:rPr>
          <w:highlight w:val="none"/>
        </w:rPr>
      </w:r>
    </w:p>
    <w:p>
      <w:pPr>
        <w:pStyle w:val="840"/>
        <w:ind w:firstLine="567"/>
        <w:jc w:val="both"/>
        <w:spacing w:after="24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6</w:t>
      </w:r>
      <w:r>
        <w:rPr>
          <w:sz w:val="28"/>
          <w:szCs w:val="28"/>
          <w:highlight w:val="none"/>
        </w:rPr>
        <w:t xml:space="preserve">.2. Член </w:t>
      </w:r>
      <w:r>
        <w:rPr>
          <w:spacing w:val="2"/>
          <w:sz w:val="28"/>
          <w:szCs w:val="28"/>
          <w:highlight w:val="none"/>
        </w:rPr>
        <w:t xml:space="preserve">Комиссии</w:t>
      </w:r>
      <w:r>
        <w:rPr>
          <w:sz w:val="28"/>
          <w:szCs w:val="28"/>
          <w:highlight w:val="none"/>
        </w:rPr>
        <w:t xml:space="preserve">, заинтересованный в присуждении </w:t>
      </w: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</w:rPr>
        <w:t xml:space="preserve">ранта </w:t>
      </w:r>
      <w:r>
        <w:rPr>
          <w:sz w:val="28"/>
          <w:szCs w:val="28"/>
          <w:highlight w:val="none"/>
        </w:rPr>
        <w:t xml:space="preserve">получателю</w:t>
      </w:r>
      <w:r>
        <w:rPr>
          <w:sz w:val="28"/>
          <w:szCs w:val="28"/>
          <w:highlight w:val="none"/>
        </w:rPr>
        <w:t xml:space="preserve">, обязан сообщить о своей заинтересованности </w:t>
      </w:r>
      <w:r>
        <w:rPr>
          <w:spacing w:val="2"/>
          <w:sz w:val="28"/>
          <w:szCs w:val="28"/>
          <w:highlight w:val="none"/>
        </w:rPr>
        <w:t xml:space="preserve">Комиссии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до начала рассмотрения заявки </w:t>
      </w:r>
      <w:r>
        <w:rPr>
          <w:sz w:val="28"/>
          <w:szCs w:val="28"/>
          <w:highlight w:val="none"/>
        </w:rPr>
        <w:t xml:space="preserve">получателя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 принятия по ней решения. Невыполнение этого требования влечет за </w:t>
      </w:r>
      <w:r>
        <w:rPr>
          <w:sz w:val="28"/>
          <w:szCs w:val="28"/>
        </w:rPr>
        <w:t xml:space="preserve">собой освобождение заинтересованного лица от обязанностей члена </w:t>
      </w:r>
      <w:r>
        <w:rPr>
          <w:spacing w:val="2"/>
          <w:sz w:val="28"/>
          <w:szCs w:val="28"/>
        </w:rPr>
        <w:t xml:space="preserve">Комиссии</w:t>
      </w:r>
      <w:r>
        <w:rPr>
          <w:sz w:val="28"/>
          <w:szCs w:val="28"/>
        </w:rPr>
        <w:t xml:space="preserve">.</w:t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9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sectPr>
          <w:headerReference w:type="default" r:id="rId8"/>
          <w:footnotePr/>
          <w:endnotePr/>
          <w:type w:val="nextPage"/>
          <w:pgSz w:w="11906" w:h="16838" w:orient="portrait"/>
          <w:pgMar w:top="1418" w:right="1276" w:bottom="1134" w:left="1559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jc w:val="right"/>
        <w:rPr>
          <w:bCs/>
        </w:rPr>
      </w:pPr>
      <w:r>
        <w:t xml:space="preserve">Приложение </w:t>
      </w:r>
      <w:r>
        <w:t xml:space="preserve">1</w:t>
      </w:r>
      <w:r>
        <w:t xml:space="preserve"> </w:t>
      </w:r>
      <w:r>
        <w:rPr>
          <w:rFonts w:eastAsia="Calibri"/>
          <w:bCs/>
          <w:lang w:eastAsia="en-US"/>
        </w:rPr>
        <w:t xml:space="preserve">к </w:t>
      </w:r>
      <w:r>
        <w:rPr>
          <w:rFonts w:eastAsia="Calibri"/>
          <w:bCs/>
          <w:lang w:eastAsia="en-US"/>
        </w:rPr>
        <w:t xml:space="preserve">Положению о </w:t>
      </w:r>
      <w:r>
        <w:rPr>
          <w:spacing w:val="2"/>
        </w:rPr>
        <w:t xml:space="preserve">Комиссии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84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ОЦЕНОЧНАЯ ВЕДОМОСТЬ</w:t>
      </w:r>
      <w:r/>
    </w:p>
    <w:p>
      <w:pPr>
        <w:pStyle w:val="843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заседания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Ханты-Мансийск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____________ 20_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 г.</w:t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аправление конкурса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</w:t>
      </w:r>
      <w:r/>
    </w:p>
    <w:p>
      <w:pPr>
        <w:jc w:val="both"/>
        <w:rPr>
          <w:rFonts w:ascii="Calibri" w:hAnsi="Calibri" w:cs="Calibri"/>
        </w:rPr>
        <w:outlineLvl w:val="1"/>
      </w:pPr>
      <w:r>
        <w:rPr>
          <w:rFonts w:ascii="Calibri" w:hAnsi="Calibri" w:cs="Calibri"/>
        </w:rPr>
      </w:r>
      <w:r/>
    </w:p>
    <w:tbl>
      <w:tblPr>
        <w:tblW w:w="1542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3657"/>
        <w:gridCol w:w="1984"/>
        <w:gridCol w:w="992"/>
        <w:gridCol w:w="737"/>
        <w:gridCol w:w="737"/>
        <w:gridCol w:w="681"/>
        <w:gridCol w:w="850"/>
        <w:gridCol w:w="993"/>
        <w:gridCol w:w="737"/>
        <w:gridCol w:w="964"/>
        <w:gridCol w:w="139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Наименование </w:t>
            </w:r>
            <w:r>
              <w:rPr>
                <w:sz w:val="20"/>
                <w:szCs w:val="20"/>
                <w:highlight w:val="none"/>
              </w:rPr>
              <w:t xml:space="preserve">получателя гранта</w:t>
            </w:r>
            <w:r>
              <w:rPr>
                <w:strike/>
                <w:color w:val="ff0000"/>
                <w:sz w:val="20"/>
                <w:szCs w:val="20"/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5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Название проекта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Экспертная оценка (количество баллов)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Запрашиваемая сумма</w:t>
            </w:r>
            <w:r>
              <w:rPr>
                <w:highlight w:val="none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Оценка члена </w:t>
            </w:r>
            <w:r>
              <w:rPr>
                <w:sz w:val="20"/>
                <w:szCs w:val="20"/>
                <w:highlight w:val="none"/>
              </w:rPr>
              <w:t xml:space="preserve">Комиссии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по каждому критерию</w:t>
            </w:r>
            <w:r>
              <w:rPr>
                <w:sz w:val="20"/>
                <w:szCs w:val="20"/>
                <w:highlight w:val="none"/>
              </w:rPr>
              <w:t xml:space="preserve"> от 5 до 1 балла (целым числом</w:t>
            </w:r>
            <w:r>
              <w:rPr>
                <w:sz w:val="20"/>
                <w:szCs w:val="20"/>
                <w:highlight w:val="none"/>
              </w:rPr>
              <w:t xml:space="preserve">)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9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</w:t>
            </w:r>
            <w:r/>
          </w:p>
        </w:tc>
      </w:tr>
      <w:tr>
        <w:trPr>
          <w:cantSplit/>
          <w:trHeight w:val="2288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textDirection w:val="btLr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Вкл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ючен в Реестр организаци</w:t>
            </w:r>
            <w:r>
              <w:rPr>
                <w:sz w:val="20"/>
                <w:szCs w:val="20"/>
                <w:highlight w:val="none"/>
              </w:rPr>
              <w:t xml:space="preserve">й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Экономическая эффективность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значимость проекта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Потенциальная область применения результатов проекта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рабочих мест, в том числе для КМНС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ресурсы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Перспективы дальнейшего развития проекта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textDirection w:val="lrTb"/>
            <w:noWrap w:val="false"/>
          </w:tcPr>
          <w:p>
            <w:pPr>
              <w:pStyle w:val="844"/>
              <w:widowControl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textDirection w:val="lrTb"/>
            <w:noWrap w:val="false"/>
          </w:tcPr>
          <w:p>
            <w:pPr>
              <w:pStyle w:val="844"/>
              <w:widowControl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" w:type="dxa"/>
            <w:textDirection w:val="lrTb"/>
            <w:noWrap w:val="false"/>
          </w:tcPr>
          <w:p>
            <w:pPr>
              <w:pStyle w:val="844"/>
              <w:widowControl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5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Комиссии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right"/>
        <w:sectPr>
          <w:footnotePr/>
          <w:endnotePr/>
          <w:type w:val="nextPage"/>
          <w:pgSz w:w="16838" w:h="11906" w:orient="landscape"/>
          <w:pgMar w:top="1559" w:right="1418" w:bottom="851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jc w:val="right"/>
        <w:rPr>
          <w:bCs/>
        </w:rPr>
      </w:pPr>
      <w:r>
        <w:t xml:space="preserve">Приложение </w:t>
      </w:r>
      <w:r>
        <w:t xml:space="preserve">2</w:t>
      </w:r>
      <w:r>
        <w:t xml:space="preserve"> </w:t>
      </w:r>
      <w:r>
        <w:rPr>
          <w:rFonts w:eastAsia="Calibri"/>
          <w:bCs/>
          <w:lang w:eastAsia="en-US"/>
        </w:rPr>
        <w:t xml:space="preserve">к </w:t>
      </w:r>
      <w:r>
        <w:rPr>
          <w:rFonts w:eastAsia="Calibri"/>
          <w:bCs/>
          <w:lang w:eastAsia="en-US"/>
        </w:rPr>
        <w:t xml:space="preserve">Положению </w:t>
      </w:r>
      <w:r>
        <w:rPr>
          <w:rFonts w:eastAsia="Calibri"/>
          <w:bCs/>
          <w:lang w:eastAsia="en-US"/>
        </w:rPr>
        <w:t xml:space="preserve">о </w:t>
      </w:r>
      <w:r>
        <w:rPr>
          <w:spacing w:val="2"/>
        </w:rPr>
        <w:t xml:space="preserve">Комиссии</w:t>
      </w:r>
      <w:r/>
    </w:p>
    <w:p>
      <w:pPr>
        <w:jc w:val="right"/>
        <w:rPr>
          <w:bCs/>
        </w:rPr>
      </w:pPr>
      <w:r>
        <w:rPr>
          <w:bCs/>
        </w:rPr>
      </w:r>
      <w:r/>
    </w:p>
    <w:p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  <w:r/>
    </w:p>
    <w:p>
      <w:pPr>
        <w:pStyle w:val="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 ВЕДОМОСТЬ</w:t>
      </w:r>
      <w:r/>
    </w:p>
    <w:p>
      <w:pPr>
        <w:pStyle w:val="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pacing w:val="2"/>
          <w:sz w:val="28"/>
          <w:szCs w:val="28"/>
        </w:rPr>
        <w:t xml:space="preserve">Комиссии</w:t>
      </w:r>
      <w:r/>
    </w:p>
    <w:p>
      <w:pPr>
        <w:pStyle w:val="843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Ханты-Мансийск                                                                    от _______________ 20__ г.</w:t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конкурса ___________________________________________________________________________</w:t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</w:t>
      </w:r>
      <w:r/>
    </w:p>
    <w:p>
      <w:pPr>
        <w:jc w:val="both"/>
        <w:rPr>
          <w:rFonts w:ascii="Calibri" w:hAnsi="Calibri" w:cs="Calibri"/>
        </w:rPr>
        <w:outlineLvl w:val="1"/>
      </w:pPr>
      <w:r>
        <w:rPr>
          <w:rFonts w:ascii="Calibri" w:hAnsi="Calibri" w:cs="Calibri"/>
        </w:rPr>
      </w:r>
      <w:r/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1530"/>
      </w:tblGrid>
      <w:tr>
        <w:trPr>
          <w:trHeight w:val="11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Ф.И.О. члена 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>
              <w:rPr>
                <w:spacing w:val="2"/>
              </w:rPr>
              <w:t xml:space="preserve">Комиссии</w:t>
            </w:r>
            <w:r/>
          </w:p>
          <w:p>
            <w:pPr>
              <w:rPr>
                <w:strike/>
                <w:color w:val="ff0000"/>
              </w:rPr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Получатель гранта</w:t>
            </w:r>
            <w:r>
              <w:rPr>
                <w:bCs/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Общее количест</w:t>
            </w:r>
            <w:r>
              <w:rPr>
                <w:bCs/>
              </w:rPr>
              <w:t xml:space="preserve">во баллов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5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both"/>
        <w:rPr>
          <w:rFonts w:ascii="Calibri" w:hAnsi="Calibri" w:cs="Calibri"/>
        </w:rPr>
        <w:outlineLvl w:val="1"/>
      </w:pPr>
      <w:r>
        <w:rPr>
          <w:rFonts w:ascii="Calibri" w:hAnsi="Calibri" w:cs="Calibri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pacing w:val="2"/>
          <w:sz w:val="24"/>
          <w:szCs w:val="24"/>
        </w:rPr>
        <w:t xml:space="preserve">Комиссии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</w:t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(Ф.И.О.)</w:t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2"/>
          <w:sz w:val="24"/>
          <w:szCs w:val="24"/>
        </w:rPr>
        <w:t xml:space="preserve"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 </w:t>
      </w:r>
      <w:r>
        <w:rPr>
          <w:rFonts w:ascii="Times New Roman" w:hAnsi="Times New Roman" w:cs="Times New Roman"/>
        </w:rPr>
        <w:t xml:space="preserve">    </w:t>
      </w:r>
      <w:r/>
    </w:p>
    <w:p>
      <w:pPr>
        <w:pStyle w:val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(Ф.И.О.)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TimesNewRoman">
    <w:panose1 w:val="02020603050405020304"/>
  </w:font>
  <w:font w:name="Segoe UI">
    <w:panose1 w:val="020B0502040204020203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42947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84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4"/>
    <w:next w:val="8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5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5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5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5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5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4"/>
    <w:uiPriority w:val="34"/>
    <w:qFormat/>
    <w:pPr>
      <w:contextualSpacing/>
      <w:ind w:left="720"/>
    </w:pPr>
  </w:style>
  <w:style w:type="paragraph" w:styleId="679">
    <w:name w:val="Title"/>
    <w:basedOn w:val="834"/>
    <w:next w:val="834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5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5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5"/>
    <w:link w:val="848"/>
    <w:uiPriority w:val="99"/>
  </w:style>
  <w:style w:type="character" w:styleId="688">
    <w:name w:val="Footer Char"/>
    <w:basedOn w:val="835"/>
    <w:link w:val="850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850"/>
    <w:uiPriority w:val="99"/>
  </w:style>
  <w:style w:type="table" w:styleId="69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 Spacing"/>
    <w:link w:val="841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839" w:customStyle="1">
    <w:name w:val="ConsPlusNormal"/>
    <w:link w:val="847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0">
    <w:name w:val="Normal (Web)"/>
    <w:basedOn w:val="834"/>
    <w:uiPriority w:val="99"/>
  </w:style>
  <w:style w:type="character" w:styleId="841" w:customStyle="1">
    <w:name w:val="Без интервала Знак"/>
    <w:link w:val="838"/>
    <w:uiPriority w:val="1"/>
    <w:rPr>
      <w:rFonts w:ascii="Calibri" w:hAnsi="Calibri" w:eastAsia="Times New Roman" w:cs="Times New Roman"/>
      <w:lang w:eastAsia="ru-RU"/>
    </w:rPr>
  </w:style>
  <w:style w:type="character" w:styleId="842">
    <w:name w:val="Hyperlink"/>
    <w:basedOn w:val="835"/>
    <w:uiPriority w:val="99"/>
    <w:unhideWhenUsed/>
    <w:rPr>
      <w:color w:val="0563c1" w:themeColor="hyperlink"/>
      <w:u w:val="single"/>
    </w:rPr>
  </w:style>
  <w:style w:type="paragraph" w:styleId="843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844" w:customStyle="1">
    <w:name w:val="ConsPlusCell"/>
    <w:pPr>
      <w:spacing w:after="0" w:line="240" w:lineRule="auto"/>
      <w:widowControl w:val="off"/>
    </w:pPr>
    <w:rPr>
      <w:rFonts w:ascii="Arial" w:hAnsi="Arial" w:eastAsia="Calibri" w:cs="Arial"/>
      <w:sz w:val="20"/>
      <w:szCs w:val="20"/>
      <w:lang w:eastAsia="ru-RU"/>
    </w:rPr>
  </w:style>
  <w:style w:type="paragraph" w:styleId="845">
    <w:name w:val="Balloon Text"/>
    <w:basedOn w:val="834"/>
    <w:link w:val="8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6" w:customStyle="1">
    <w:name w:val="Текст выноски Знак"/>
    <w:basedOn w:val="835"/>
    <w:link w:val="84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47" w:customStyle="1">
    <w:name w:val="ConsPlusNormal Знак"/>
    <w:link w:val="839"/>
    <w:rPr>
      <w:rFonts w:ascii="Arial" w:hAnsi="Arial" w:eastAsia="Times New Roman" w:cs="Arial"/>
      <w:sz w:val="20"/>
      <w:szCs w:val="20"/>
      <w:lang w:eastAsia="ru-RU"/>
    </w:rPr>
  </w:style>
  <w:style w:type="paragraph" w:styleId="848">
    <w:name w:val="Header"/>
    <w:basedOn w:val="834"/>
    <w:link w:val="8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35"/>
    <w:link w:val="84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0">
    <w:name w:val="Footer"/>
    <w:basedOn w:val="834"/>
    <w:link w:val="85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35"/>
    <w:link w:val="850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2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BFB5-ED9F-4E90-A34C-09EA0219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revision>20</cp:revision>
  <dcterms:created xsi:type="dcterms:W3CDTF">2020-03-20T10:12:00Z</dcterms:created>
  <dcterms:modified xsi:type="dcterms:W3CDTF">2023-05-22T09:09:23Z</dcterms:modified>
</cp:coreProperties>
</file>